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7075"/>
        <w:gridCol w:w="3031"/>
      </w:tblGrid>
      <w:tr>
        <w:tc>
          <w:tcPr>
            <w:tcW w:type="dxa" w:w="7075"/>
            <w:tcBorders>
              <w:top w:val="none" w:color="FFFFFF" w:sz="0"/>
              <w:left w:val="none" w:color="FFFFFF" w:sz="0"/>
              <w:bottom w:val="none" w:color="FFFFFF" w:sz="0"/>
              <w:right w:val="none" w:color="FFFFFF" w:sz="0"/>
            </w:tcBorders>
            <w:tcMar>
              <w:top w:type="dxa" w:w="0"/>
              <w:left w:type="dxa" w:w="0"/>
              <w:bottom w:type="dxa" w:w="0"/>
              <w:right w:type="dxa" w:w="200"/>
            </w:tcMar>
            <w:vAlign w:val="center"/>
          </w:tcPr>
          <w:p>
            <w:pPr>
              <w:spacing w:after="60"/>
            </w:pPr>
            <w:r>
              <w:rPr>
                <w:rFonts w:ascii="Calibri" w:cs="Calibri" w:eastAsia="Calibri" w:hAnsi="Calibri"/>
                <w:b/>
                <w:bCs/>
                <w:color w:val="1B3A6B"/>
                <w:sz w:val="54"/>
                <w:szCs w:val="54"/>
              </w:rPr>
              <w:t xml:space="preserve">Paul MALONE</w:t>
            </w:r>
          </w:p>
          <w:p>
            <w:pPr>
              <w:spacing w:after="40"/>
            </w:pPr>
            <w:r>
              <w:rPr>
                <w:rFonts w:ascii="Calibri" w:cs="Calibri" w:eastAsia="Calibri" w:hAnsi="Calibri"/>
                <w:b/>
                <w:bCs/>
                <w:color w:val="2E5FA3"/>
                <w:sz w:val="24"/>
                <w:szCs w:val="24"/>
              </w:rPr>
              <w:t xml:space="preserve">Senior Product Quality Engineer  |  Regulated Devices &amp; Design Controls</w:t>
            </w:r>
          </w:p>
          <w:p>
            <w:r>
              <w:rPr>
                <w:rFonts w:ascii="Calibri" w:cs="Calibri" w:eastAsia="Calibri" w:hAnsi="Calibri"/>
                <w:i/>
                <w:iCs/>
                <w:color w:val="555555"/>
              </w:rPr>
              <w:t xml:space="preserve">Design Controls  ·  QMS  ·  ISO 13485  ·  FDA 21 CFR 820  ·  CAPA  ·  Validation  ·  Agile</w:t>
            </w:r>
          </w:p>
        </w:tc>
        <w:tc>
          <w:tcPr>
            <w:tcW w:type="dxa" w:w="3031"/>
            <w:tcBorders>
              <w:top w:val="none" w:color="FFFFFF" w:sz="0"/>
              <w:left w:val="none" w:color="FFFFFF" w:sz="0"/>
              <w:bottom w:val="none" w:color="FFFFFF" w:sz="0"/>
              <w:right w:val="none" w:color="FFFFFF" w:sz="0"/>
            </w:tcBorders>
            <w:shd w:fill="D9E4F0" w:val="clear"/>
            <w:tcMar>
              <w:top w:type="dxa" w:w="60"/>
              <w:left w:type="dxa" w:w="100"/>
              <w:bottom w:type="dxa" w:w="60"/>
              <w:right w:type="dxa" w:w="100"/>
            </w:tcMar>
          </w:tcPr>
          <w:p>
            <w:pPr>
              <w:spacing w:after="60"/>
              <w:jc w:val="center"/>
            </w:pPr>
            <w:r>
              <w:drawing>
                <wp:inline distT="0" distB="0" distL="0" distR="0">
                  <wp:extent cx="1276350" cy="1228725"/>
                  <wp:effectExtent t="0" r="0" b="0" l="0"/>
                  <wp:docPr id="1" name="Paul_Photo" descr="Headshot photo" title="Paul Mal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276350" cy="1228725"/>
                          </a:xfrm>
                          <a:prstGeom prst="rect">
                            <a:avLst/>
                          </a:prstGeom>
                        </pic:spPr>
                      </pic:pic>
                    </a:graphicData>
                  </a:graphic>
                </wp:inline>
              </w:drawing>
            </w:r>
          </w:p>
          <w:p>
            <w:pPr>
              <w:spacing w:after="16" w:before="16"/>
              <w:jc w:val="center"/>
            </w:pPr>
            <w:r>
              <w:rPr>
                <w:rFonts w:ascii="Calibri" w:cs="Calibri" w:eastAsia="Calibri" w:hAnsi="Calibri"/>
                <w:color w:val="1B3A6B"/>
                <w:sz w:val="16"/>
                <w:szCs w:val="16"/>
              </w:rPr>
              <w:t xml:space="preserve">+49 (0) 15560 963340</w:t>
            </w:r>
          </w:p>
          <w:p>
            <w:pPr>
              <w:spacing w:after="16" w:before="16"/>
              <w:jc w:val="center"/>
            </w:pPr>
            <w:r>
              <w:rPr>
                <w:rFonts w:ascii="Calibri" w:cs="Calibri" w:eastAsia="Calibri" w:hAnsi="Calibri"/>
                <w:color w:val="1B3A6B"/>
                <w:sz w:val="16"/>
                <w:szCs w:val="16"/>
              </w:rPr>
              <w:t xml:space="preserve">paulmalone777@gmail.com</w:t>
            </w:r>
          </w:p>
          <w:p>
            <w:pPr>
              <w:spacing w:after="16" w:before="16"/>
              <w:jc w:val="center"/>
            </w:pPr>
            <w:r>
              <w:rPr>
                <w:rFonts w:ascii="Calibri" w:cs="Calibri" w:eastAsia="Calibri" w:hAnsi="Calibri"/>
                <w:color w:val="1B3A6B"/>
                <w:sz w:val="16"/>
                <w:szCs w:val="16"/>
              </w:rPr>
              <w:t xml:space="preserve">linkedin.com/in/paulmalone777</w:t>
            </w:r>
          </w:p>
          <w:p>
            <w:pPr>
              <w:spacing w:after="16" w:before="16"/>
              <w:jc w:val="center"/>
            </w:pPr>
            <w:r>
              <w:rPr>
                <w:rFonts w:ascii="Calibri" w:cs="Calibri" w:eastAsia="Calibri" w:hAnsi="Calibri"/>
                <w:color w:val="1B3A6B"/>
                <w:sz w:val="16"/>
                <w:szCs w:val="16"/>
              </w:rPr>
              <w:t xml:space="preserve">86169 Augsburg, Germany</w:t>
            </w:r>
          </w:p>
          <w:p>
            <w:pPr>
              <w:spacing w:after="16" w:before="16"/>
              <w:jc w:val="center"/>
            </w:pPr>
            <w:r>
              <w:rPr>
                <w:rFonts w:ascii="Calibri" w:cs="Calibri" w:eastAsia="Calibri" w:hAnsi="Calibri"/>
                <w:color w:val="1B3A6B"/>
                <w:sz w:val="16"/>
                <w:szCs w:val="16"/>
              </w:rPr>
              <w:t xml:space="preserve">Open to DACH roles</w:t>
            </w:r>
          </w:p>
        </w:tc>
      </w:tr>
    </w:tbl>
    <w:p>
      <w:pPr>
        <w:spacing w:before="80"/>
      </w:pPr>
    </w:p>
    <w:p>
      <w:pPr>
        <w:pBdr>
          <w:bottom w:val="single" w:color="1B3A6B" w:sz="8" w:space="1"/>
        </w:pBdr>
        <w:spacing w:after="120"/>
      </w:pPr>
    </w:p>
    <w:p>
      <w:pPr>
        <w:spacing w:after="60" w:before="220"/>
      </w:pPr>
      <w:r>
        <w:rPr>
          <w:rFonts w:ascii="Calibri" w:cs="Calibri" w:eastAsia="Calibri" w:hAnsi="Calibri"/>
          <w:b/>
          <w:bCs/>
          <w:color w:val="1B3A6B"/>
          <w:sz w:val="22"/>
          <w:szCs w:val="22"/>
        </w:rPr>
        <w:t xml:space="preserve">PROFILE</w:t>
      </w:r>
    </w:p>
    <w:p>
      <w:pPr>
        <w:pBdr>
          <w:bottom w:val="single" w:color="2E5FA3" w:sz="8" w:space="1"/>
        </w:pBdr>
        <w:spacing w:after="100"/>
      </w:pPr>
    </w:p>
    <w:p>
      <w:pPr>
        <w:spacing w:after="60"/>
      </w:pPr>
      <w:r>
        <w:rPr>
          <w:rFonts w:ascii="Calibri" w:cs="Calibri" w:eastAsia="Calibri" w:hAnsi="Calibri"/>
        </w:rPr>
        <w:t xml:space="preserve">Senior Quality Engineer with deep expertise in Design Controls, quality management systems, and regulatory compliance across multiple regulated device programmes. Hands-on experience establishing and maintaining QMS compliance under ISO 13485, ISO 14971, IEC 62304, IEC 62366, and FDA 21 CFR 820 — spanning the Sonova myPhonak hearing aid platform, the Roche cobas b 123 point-of-care diagnostic device, and the Grundfos Smart S4DD metering system. Experienced in CAPA management, non-conformance investigation, process and software validation, complaint handling, and supporting internal and external quality audits.</w:t>
      </w:r>
    </w:p>
    <w:p>
      <w:pPr>
        <w:spacing w:after="60"/>
      </w:pPr>
      <w:r>
        <w:rPr>
          <w:rFonts w:ascii="Calibri" w:cs="Calibri" w:eastAsia="Calibri" w:hAnsi="Calibri"/>
        </w:rPr>
        <w:t xml:space="preserve">Contributed to QMS and Design Controls activities at Sonova AG within an established medical-device quality framework — supporting CAPA, non-conformance tracking, design quality assurance and risk-management documentation (ISO 13485, ISO 14971, IEC 62304/62366) for the myPhonak medical app. Proven ability to review technical documentation, provide regulatory input to cross-functional teams, and support device compliance with applicable standards. Comfortable operating inside established QMS environments and supporting Agile development in regulated settings. Experienced across Germany, Switzerland, the UK, and Ireland. English native.</w:t>
      </w:r>
    </w:p>
    <w:p>
      <w:pPr>
        <w:spacing w:after="160"/>
      </w:pPr>
    </w:p>
    <w:p>
      <w:pPr>
        <w:spacing w:after="60" w:before="220"/>
      </w:pPr>
      <w:r>
        <w:rPr>
          <w:rFonts w:ascii="Calibri" w:cs="Calibri" w:eastAsia="Calibri" w:hAnsi="Calibri"/>
          <w:b/>
          <w:bCs/>
          <w:color w:val="1B3A6B"/>
          <w:sz w:val="22"/>
          <w:szCs w:val="22"/>
        </w:rPr>
        <w:t xml:space="preserve">CORE COMPETENCIES</w:t>
      </w:r>
    </w:p>
    <w:p>
      <w:pPr>
        <w:pBdr>
          <w:bottom w:val="single" w:color="2E5FA3" w:sz="8" w:space="1"/>
        </w:pBdr>
        <w:spacing w:after="100"/>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053"/>
        <w:gridCol w:w="5053"/>
      </w:tblGrid>
      <w:tr>
        <w:tc>
          <w:tcPr>
            <w:tcW w:type="dxa" w:w="5053"/>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20" w:before="20"/>
              <w:ind w:left="360" w:hanging="360"/>
            </w:pPr>
            <w:r>
              <w:rPr>
                <w:rFonts w:ascii="Calibri" w:cs="Calibri" w:eastAsia="Calibri" w:hAnsi="Calibri"/>
                <w:sz w:val="20"/>
                <w:szCs w:val="20"/>
              </w:rPr>
              <w:t>•   Design Controls &amp; QMS — ISO 13485, FDA 21 CFR 820 implementation &amp; compliance</w:t>
            </w:r>
          </w:p>
          <w:p>
            <w:pPr>
              <w:spacing w:after="20" w:before="20"/>
              <w:ind w:left="360" w:hanging="360"/>
            </w:pPr>
            <w:r>
              <w:rPr>
                <w:rFonts w:ascii="Calibri" w:cs="Calibri" w:eastAsia="Calibri" w:hAnsi="Calibri"/>
                <w:sz w:val="20"/>
                <w:szCs w:val="20"/>
              </w:rPr>
              <w:t>•   CAPA management &amp; corrective action process design</w:t>
            </w:r>
          </w:p>
          <w:p>
            <w:pPr>
              <w:spacing w:after="20" w:before="20"/>
              <w:ind w:left="360" w:hanging="360"/>
            </w:pPr>
            <w:r>
              <w:rPr>
                <w:rFonts w:ascii="Calibri" w:cs="Calibri" w:eastAsia="Calibri" w:hAnsi="Calibri"/>
                <w:sz w:val="20"/>
                <w:szCs w:val="20"/>
              </w:rPr>
              <w:t>•   Non-conformance investigation &amp; complaint handling; root cause analysis (FMEA, 5 Whys)</w:t>
            </w:r>
          </w:p>
          <w:p>
            <w:pPr>
              <w:spacing w:after="20" w:before="20"/>
              <w:ind w:left="360" w:hanging="360"/>
            </w:pPr>
            <w:r>
              <w:rPr>
                <w:rFonts w:ascii="Calibri" w:cs="Calibri" w:eastAsia="Calibri" w:hAnsi="Calibri"/>
                <w:sz w:val="20"/>
                <w:szCs w:val="20"/>
              </w:rPr>
              <w:t>•   Validation activities: process, software &amp; equipment validation (IQ/OQ/PQ)</w:t>
            </w:r>
          </w:p>
          <w:p>
            <w:pPr>
              <w:spacing w:after="20" w:before="20"/>
              <w:ind w:left="360" w:hanging="360"/>
            </w:pPr>
            <w:r>
              <w:rPr>
                <w:rFonts w:ascii="Calibri" w:cs="Calibri" w:eastAsia="Calibri" w:hAnsi="Calibri"/>
                <w:sz w:val="20"/>
                <w:szCs w:val="20"/>
              </w:rPr>
              <w:t>•   Risk management — ISO 14971; regulatory guidance to development teams</w:t>
            </w:r>
          </w:p>
        </w:tc>
        <w:tc>
          <w:tcPr>
            <w:tcW w:type="dxa" w:w="5053"/>
            <w:tcBorders>
              <w:top w:val="none" w:color="FFFFFF" w:sz="0"/>
              <w:left w:val="none" w:color="FFFFFF" w:sz="0"/>
              <w:bottom w:val="none" w:color="FFFFFF" w:sz="0"/>
              <w:right w:val="none" w:color="FFFFFF" w:sz="0"/>
            </w:tcBorders>
            <w:tcMar>
              <w:top w:type="dxa" w:w="40"/>
              <w:left w:type="dxa" w:w="120"/>
              <w:bottom w:type="dxa" w:w="40"/>
              <w:right w:type="dxa" w:w="0"/>
            </w:tcMar>
          </w:tcPr>
          <w:p>
            <w:pPr>
              <w:spacing w:after="20" w:before="20"/>
              <w:ind w:left="360" w:hanging="360"/>
            </w:pPr>
            <w:r>
              <w:rPr>
                <w:rFonts w:ascii="Calibri" w:cs="Calibri" w:eastAsia="Calibri" w:hAnsi="Calibri"/>
                <w:sz w:val="20"/>
                <w:szCs w:val="20"/>
              </w:rPr>
              <w:t>•   FDA 21 CFR 820 / MDR / CE Mark compliance documentation</w:t>
            </w:r>
          </w:p>
          <w:p>
            <w:pPr>
              <w:spacing w:after="20" w:before="20"/>
              <w:ind w:left="360" w:hanging="360"/>
            </w:pPr>
            <w:r>
              <w:rPr>
                <w:rFonts w:ascii="Calibri" w:cs="Calibri" w:eastAsia="Calibri" w:hAnsi="Calibri"/>
                <w:sz w:val="20"/>
                <w:szCs w:val="20"/>
              </w:rPr>
              <w:t>•   Internal &amp; external audit support; Notified Body interface</w:t>
            </w:r>
          </w:p>
          <w:p>
            <w:pPr>
              <w:spacing w:after="20" w:before="20"/>
              <w:ind w:left="360" w:hanging="360"/>
            </w:pPr>
            <w:r>
              <w:rPr>
                <w:rFonts w:ascii="Calibri" w:cs="Calibri" w:eastAsia="Calibri" w:hAnsi="Calibri"/>
                <w:sz w:val="20"/>
                <w:szCs w:val="20"/>
              </w:rPr>
              <w:t>•   Technical documentation review &amp; regulatory compliance reporting</w:t>
            </w:r>
          </w:p>
          <w:p>
            <w:pPr>
              <w:spacing w:after="20" w:before="20"/>
              <w:ind w:left="360" w:hanging="360"/>
            </w:pPr>
            <w:r>
              <w:rPr>
                <w:rFonts w:ascii="Calibri" w:cs="Calibri" w:eastAsia="Calibri" w:hAnsi="Calibri"/>
                <w:sz w:val="20"/>
                <w:szCs w:val="20"/>
              </w:rPr>
              <w:t>•   V&amp;V strategy, test protocol design &amp; release verification</w:t>
            </w:r>
          </w:p>
          <w:p>
            <w:pPr>
              <w:spacing w:after="20" w:before="20"/>
              <w:ind w:left="360" w:hanging="360"/>
            </w:pPr>
            <w:r>
              <w:rPr>
                <w:rFonts w:ascii="Calibri" w:cs="Calibri" w:eastAsia="Calibri" w:hAnsi="Calibri"/>
                <w:sz w:val="20"/>
                <w:szCs w:val="20"/>
              </w:rPr>
              <w:t>•   Agile/Scrum in regulated environments; cross-functional stakeholder management</w:t>
            </w:r>
          </w:p>
        </w:tc>
      </w:tr>
    </w:tbl>
    <w:p>
      <w:pPr>
        <w:spacing w:after="80"/>
      </w:pPr>
    </w:p>
    <w:p>
      <w:pPr>
        <w:spacing w:after="60" w:before="220"/>
      </w:pPr>
      <w:r>
        <w:rPr>
          <w:rFonts w:ascii="Calibri" w:cs="Calibri" w:eastAsia="Calibri" w:hAnsi="Calibri"/>
          <w:b/>
          <w:bCs/>
          <w:color w:val="1B3A6B"/>
          <w:sz w:val="22"/>
          <w:szCs w:val="22"/>
        </w:rPr>
        <w:t xml:space="preserve">PROFESSIONAL EXPERIENCE</w:t>
      </w:r>
    </w:p>
    <w:p>
      <w:pPr>
        <w:pBdr>
          <w:bottom w:val="single" w:color="2E5FA3" w:sz="8" w:space="1"/>
        </w:pBdr>
        <w:spacing w:after="100"/>
      </w:pPr>
    </w:p>
    <w:p>
      <w:pPr>
        <w:tabs>
          <w:tab w:val="right" w:pos="10106"/>
        </w:tabs>
        <w:spacing w:after="60" w:before="160"/>
      </w:pPr>
      <w:r>
        <w:rPr>
          <w:rFonts w:ascii="Calibri" w:cs="Calibri" w:eastAsia="Calibri" w:hAnsi="Calibri"/>
          <w:b/>
          <w:bCs/>
          <w:color w:val="1B3A6B"/>
          <w:sz w:val="22"/>
          <w:szCs w:val="22"/>
        </w:rPr>
        <w:t xml:space="preserve">HMI Test Engineer, </w:t>
      </w:r>
      <w:r>
        <w:rPr>
          <w:rFonts w:ascii="Calibri" w:cs="Calibri" w:eastAsia="Calibri" w:hAnsi="Calibri"/>
          <w:b/>
          <w:bCs/>
          <w:color w:val="2E5FA3"/>
          <w:sz w:val="22"/>
          <w:szCs w:val="22"/>
        </w:rPr>
        <w:t xml:space="preserve">Ferchau Aviation (at Airbus Manching)</w:t>
      </w:r>
      <w:r>
        <w:rPr>
          <w:rFonts w:ascii="Calibri" w:cs="Calibri" w:eastAsia="Calibri" w:hAnsi="Calibri"/>
          <w:i/>
          <w:iCs/>
          <w:color w:val="555555"/>
          <w:sz w:val="22"/>
          <w:szCs w:val="22"/>
        </w:rPr>
        <w:t xml:space="preserve">	Apr 2025 – Dec 2025</w:t>
      </w:r>
    </w:p>
    <w:p>
      <w:pPr>
        <w:spacing w:after="60"/>
      </w:pPr>
      <w:r>
        <w:rPr>
          <w:rFonts w:ascii="Calibri" w:cs="Calibri" w:eastAsia="Calibri" w:hAnsi="Calibri"/>
          <w:i/>
          <w:iCs/>
          <w:color w:val="555555"/>
        </w:rPr>
        <w:t xml:space="preserve">Safety-critical testing in a classified defence environment — strict documentation discipline, configuration control, and non-conformance reporting directly transferable to regulated device quality engineering.</w:t>
      </w:r>
    </w:p>
    <w:p>
      <w:pPr>
        <w:spacing w:after="20" w:before="20"/>
        <w:ind w:left="360" w:hanging="360"/>
      </w:pPr>
      <w:r>
        <w:rPr>
          <w:rFonts w:ascii="Calibri" w:cs="Calibri" w:eastAsia="Calibri" w:hAnsi="Calibri"/>
        </w:rPr>
        <w:t>•   Designed and executed requirements-based test cases on Tornado Stage A HMI test benches with strict configuration control, traceability, and defect documentation — mirroring medical device V&amp;V rigour.</w:t>
      </w:r>
    </w:p>
    <w:p>
      <w:pPr>
        <w:spacing w:after="20" w:before="20"/>
        <w:ind w:left="360" w:hanging="360"/>
      </w:pPr>
      <w:r>
        <w:rPr>
          <w:rFonts w:ascii="Calibri" w:cs="Calibri" w:eastAsia="Calibri" w:hAnsi="Calibri"/>
        </w:rPr>
        <w:t>•   Developed automated tests for AARGM weapon system; complex embedded system test execution under formal protocols.</w:t>
      </w:r>
    </w:p>
    <w:p>
      <w:pPr>
        <w:spacing w:after="20" w:before="20"/>
        <w:ind w:left="360" w:hanging="360"/>
      </w:pPr>
      <w:r>
        <w:rPr>
          <w:rFonts w:ascii="Calibri" w:cs="Calibri" w:eastAsia="Calibri" w:hAnsi="Calibri"/>
        </w:rPr>
        <w:t>•   Analysed test results and documented non-conformances with clear, actionable defect reports; collaborated across multi-disciplinary engineering teams on issue resolution and quality improvement.</w:t>
      </w:r>
    </w:p>
    <w:p>
      <w:pPr>
        <w:spacing w:after="20" w:before="20"/>
        <w:ind w:left="360" w:hanging="360"/>
      </w:pPr>
      <w:r>
        <w:rPr>
          <w:rFonts w:ascii="Calibri" w:cs="Calibri" w:eastAsia="Calibri" w:hAnsi="Calibri"/>
        </w:rPr>
        <w:t>•   Operated Stage A instrument panels and RIG test benches within classified environment protocols — strict configuration management and documentation discipline.</w:t>
      </w:r>
    </w:p>
    <w:p>
      <w:pPr>
        <w:tabs>
          <w:tab w:val="right" w:pos="10106"/>
        </w:tabs>
        <w:spacing w:after="60" w:before="160"/>
      </w:pPr>
      <w:r>
        <w:rPr>
          <w:rFonts w:ascii="Calibri" w:cs="Calibri" w:eastAsia="Calibri" w:hAnsi="Calibri"/>
          <w:b/>
          <w:bCs/>
          <w:color w:val="1B3A6B"/>
          <w:sz w:val="22"/>
          <w:szCs w:val="22"/>
        </w:rPr>
        <w:t xml:space="preserve">Principal HMI Test Engineer, </w:t>
      </w:r>
      <w:r>
        <w:rPr>
          <w:rFonts w:ascii="Calibri" w:cs="Calibri" w:eastAsia="Calibri" w:hAnsi="Calibri"/>
          <w:b/>
          <w:bCs/>
          <w:color w:val="2E5FA3"/>
          <w:sz w:val="22"/>
          <w:szCs w:val="22"/>
        </w:rPr>
        <w:t xml:space="preserve">Zühlke Engineering, Germany</w:t>
      </w:r>
      <w:r>
        <w:rPr>
          <w:rFonts w:ascii="Calibri" w:cs="Calibri" w:eastAsia="Calibri" w:hAnsi="Calibri"/>
          <w:i/>
          <w:iCs/>
          <w:color w:val="555555"/>
          <w:sz w:val="22"/>
          <w:szCs w:val="22"/>
        </w:rPr>
        <w:t xml:space="preserve">	Apr 2021 – Mar 2025</w:t>
      </w:r>
    </w:p>
    <w:p>
      <w:pPr>
        <w:spacing w:after="60"/>
      </w:pPr>
      <w:r>
        <w:rPr>
          <w:rFonts w:ascii="Calibri" w:cs="Calibri" w:eastAsia="Calibri" w:hAnsi="Calibri"/>
          <w:i/>
          <w:iCs/>
          <w:color w:val="555555"/>
        </w:rPr>
        <w:t xml:space="preserve">Led quality assurance, Design Controls support, and V&amp;V strategy across two major regulated device development programmes.</w:t>
      </w:r>
    </w:p>
    <w:p>
      <w:pPr>
        <w:spacing w:after="40" w:before="40"/>
      </w:pPr>
      <w:r>
        <w:rPr>
          <w:rFonts w:ascii="Calibri" w:cs="Calibri" w:eastAsia="Calibri" w:hAnsi="Calibri"/>
          <w:b/>
          <w:bCs/>
          <w:color w:val="2E5FA3"/>
        </w:rPr>
        <w:t xml:space="preserve">★  Roche cobas b 123 POC Medical Device: </w:t>
      </w:r>
      <w:r>
        <w:rPr>
          <w:rFonts w:ascii="Calibri" w:cs="Calibri" w:eastAsia="Calibri" w:hAnsi="Calibri"/>
        </w:rPr>
        <w:t xml:space="preserve">Key contributor to Design Controls compliance for this ISO 13485-certified point-of-care blood gas analyser. Reviewed technical documentation and provided regulatory guidance to R&amp;D and Systems Engineering teams. Designed verification protocols with full requirements traceability; contributed to release verification reports under IEC 62304 and ISO 14971. Supported audit readiness activities and ensured device compliance with applicable regulatory standards. Reported on project quality status to cross-functional stakeholders.</w:t>
      </w:r>
    </w:p>
    <w:p>
      <w:pPr>
        <w:spacing w:after="40" w:before="40"/>
      </w:pPr>
      <w:r>
        <w:rPr>
          <w:rFonts w:ascii="Calibri" w:cs="Calibri" w:eastAsia="Calibri" w:hAnsi="Calibri"/>
          <w:b/>
          <w:bCs/>
          <w:color w:val="2E5FA3"/>
        </w:rPr>
        <w:t xml:space="preserve">★  Grundfos Smart S4DD: </w:t>
      </w:r>
      <w:r>
        <w:rPr>
          <w:rFonts w:ascii="Calibri" w:cs="Calibri" w:eastAsia="Calibri" w:hAnsi="Calibri"/>
        </w:rPr>
        <w:t xml:space="preserve">V&amp;V strategy and quality assurance for the DKK 180M Smart S4DD metering pump — a regulated device platform with projected sales of DKK 2.2 billion. Led process and software validation activities across hardware and software layers. Ensured design output compliance with requirements; regression, integration and end-to-end verification across software releases in Agile/Scrum delivery.</w:t>
      </w:r>
    </w:p>
    <w:p>
      <w:pPr>
        <w:tabs>
          <w:tab w:val="right" w:pos="10106"/>
        </w:tabs>
        <w:spacing w:after="60" w:before="160"/>
      </w:pPr>
      <w:r>
        <w:rPr>
          <w:rFonts w:ascii="Calibri" w:cs="Calibri" w:eastAsia="Calibri" w:hAnsi="Calibri"/>
          <w:b/>
          <w:bCs/>
          <w:color w:val="1B3A6B"/>
          <w:sz w:val="22"/>
          <w:szCs w:val="22"/>
        </w:rPr>
        <w:t xml:space="preserve">Senior QA Mechatronics Engineer, </w:t>
      </w:r>
      <w:r>
        <w:rPr>
          <w:rFonts w:ascii="Calibri" w:cs="Calibri" w:eastAsia="Calibri" w:hAnsi="Calibri"/>
          <w:b/>
          <w:bCs/>
          <w:color w:val="2E5FA3"/>
          <w:sz w:val="22"/>
          <w:szCs w:val="22"/>
        </w:rPr>
        <w:t xml:space="preserve">Sonova AG, Switzerland (Contract)</w:t>
      </w:r>
      <w:r>
        <w:rPr>
          <w:rFonts w:ascii="Calibri" w:cs="Calibri" w:eastAsia="Calibri" w:hAnsi="Calibri"/>
          <w:i/>
          <w:iCs/>
          <w:color w:val="555555"/>
          <w:sz w:val="22"/>
          <w:szCs w:val="22"/>
        </w:rPr>
        <w:t xml:space="preserve">	Dec 2018 – Mar 2020</w:t>
      </w:r>
    </w:p>
    <w:p>
      <w:pPr>
        <w:spacing w:after="40" w:before="40"/>
      </w:pPr>
      <w:r>
        <w:rPr>
          <w:rFonts w:ascii="Calibri" w:cs="Calibri" w:eastAsia="Calibri" w:hAnsi="Calibri"/>
          <w:b/>
          <w:bCs/>
          <w:color w:val="2E5FA3"/>
        </w:rPr>
        <w:t xml:space="preserve">★  myPhonak medical app: </w:t>
      </w:r>
      <w:r>
        <w:rPr>
          <w:rFonts w:ascii="Calibri" w:cs="Calibri" w:eastAsia="Calibri" w:hAnsi="Calibri"/>
        </w:rPr>
        <w:t xml:space="preserve">QA Mechatronics contributor on the myPhonak medical app, a safety-critical hearing-aid companion platform that scaled from approximately 200 to 400,000+ active users during the engagement. Worked inside Sonova’s established ISO 13485 QMS — supported CAPA and non-conformance investigations, contributed to design quality assurance and risk-management activities (ISO 14971), and helped maintain regulatory documentation (IEC 62304 / IEC 62366) for app releases. Performed root-cause analysis on field returns and internal non-conformances; reported quality status to project stakeholders. Supported Agile delivery within Sonova’s regulated quality framework.</w:t>
      </w:r>
    </w:p>
    <w:p>
      <w:pPr>
        <w:tabs>
          <w:tab w:val="right" w:pos="10106"/>
        </w:tabs>
        <w:spacing w:after="60" w:before="160"/>
      </w:pPr>
      <w:r>
        <w:rPr>
          <w:rFonts w:ascii="Calibri" w:cs="Calibri" w:eastAsia="Calibri" w:hAnsi="Calibri"/>
          <w:b/>
          <w:bCs/>
          <w:color w:val="1B3A6B"/>
          <w:sz w:val="22"/>
          <w:szCs w:val="22"/>
        </w:rPr>
        <w:t xml:space="preserve">QA / UAT Manager, </w:t>
      </w:r>
      <w:r>
        <w:rPr>
          <w:rFonts w:ascii="Calibri" w:cs="Calibri" w:eastAsia="Calibri" w:hAnsi="Calibri"/>
          <w:b/>
          <w:bCs/>
          <w:color w:val="2E5FA3"/>
          <w:sz w:val="22"/>
          <w:szCs w:val="22"/>
        </w:rPr>
        <w:t xml:space="preserve">Expleo (SQS), Dublin, Ireland</w:t>
      </w:r>
      <w:r>
        <w:rPr>
          <w:rFonts w:ascii="Calibri" w:cs="Calibri" w:eastAsia="Calibri" w:hAnsi="Calibri"/>
          <w:i/>
          <w:iCs/>
          <w:color w:val="555555"/>
          <w:sz w:val="22"/>
          <w:szCs w:val="22"/>
        </w:rPr>
        <w:t xml:space="preserve">	Feb 2018 – Sep 2018</w:t>
      </w:r>
    </w:p>
    <w:p>
      <w:pPr>
        <w:spacing w:after="20" w:before="20"/>
        <w:ind w:left="360" w:hanging="360"/>
      </w:pPr>
      <w:r>
        <w:rPr>
          <w:rFonts w:ascii="Calibri" w:cs="Calibri" w:eastAsia="Calibri" w:hAnsi="Calibri"/>
        </w:rPr>
        <w:t>•   P6 DWH Data Warehouse project for Irish Water. Oracle EBS, P6 Primavera, BI Business Objects. Managed offshore QA team — experience coordinating with outsourced test partners.</w:t>
      </w:r>
    </w:p>
    <w:p>
      <w:pPr>
        <w:tabs>
          <w:tab w:val="right" w:pos="10106"/>
        </w:tabs>
        <w:spacing w:after="60" w:before="160"/>
      </w:pPr>
      <w:r>
        <w:rPr>
          <w:rFonts w:ascii="Calibri" w:cs="Calibri" w:eastAsia="Calibri" w:hAnsi="Calibri"/>
          <w:b/>
          <w:bCs/>
          <w:color w:val="1B3A6B"/>
          <w:sz w:val="22"/>
          <w:szCs w:val="22"/>
        </w:rPr>
        <w:t xml:space="preserve">Test Manager / Test Data Manager, </w:t>
      </w:r>
      <w:r>
        <w:rPr>
          <w:rFonts w:ascii="Calibri" w:cs="Calibri" w:eastAsia="Calibri" w:hAnsi="Calibri"/>
          <w:b/>
          <w:bCs/>
          <w:color w:val="2E5FA3"/>
          <w:sz w:val="22"/>
          <w:szCs w:val="22"/>
        </w:rPr>
        <w:t xml:space="preserve">Avaloq Sourcing, Switzerland</w:t>
      </w:r>
      <w:r>
        <w:rPr>
          <w:rFonts w:ascii="Calibri" w:cs="Calibri" w:eastAsia="Calibri" w:hAnsi="Calibri"/>
          <w:i/>
          <w:iCs/>
          <w:color w:val="555555"/>
          <w:sz w:val="22"/>
          <w:szCs w:val="22"/>
        </w:rPr>
        <w:t xml:space="preserve">	Mar 2017 – Sep 2017</w:t>
      </w:r>
    </w:p>
    <w:p>
      <w:pPr>
        <w:spacing w:after="20" w:before="20"/>
        <w:ind w:left="360" w:hanging="360"/>
      </w:pPr>
      <w:r>
        <w:rPr>
          <w:rFonts w:ascii="Calibri" w:cs="Calibri" w:eastAsia="Calibri" w:hAnsi="Calibri"/>
        </w:rPr>
        <w:t>•   Deutsche Bank SIT/UAT (200–250 resources). MiFID II E2E UAT. Avaloq banking platform. HP ALM and JIRA for test management.</w:t>
      </w:r>
    </w:p>
    <w:p>
      <w:pPr>
        <w:tabs>
          <w:tab w:val="right" w:pos="10106"/>
        </w:tabs>
        <w:spacing w:after="60" w:before="160"/>
      </w:pPr>
      <w:r>
        <w:rPr>
          <w:rFonts w:ascii="Calibri" w:cs="Calibri" w:eastAsia="Calibri" w:hAnsi="Calibri"/>
          <w:b/>
          <w:bCs/>
          <w:color w:val="1B3A6B"/>
          <w:sz w:val="22"/>
          <w:szCs w:val="22"/>
        </w:rPr>
        <w:t xml:space="preserve">Senior QA Analyst / Test Data Manager, </w:t>
      </w:r>
      <w:r>
        <w:rPr>
          <w:rFonts w:ascii="Calibri" w:cs="Calibri" w:eastAsia="Calibri" w:hAnsi="Calibri"/>
          <w:b/>
          <w:bCs/>
          <w:color w:val="2E5FA3"/>
          <w:sz w:val="22"/>
          <w:szCs w:val="22"/>
        </w:rPr>
        <w:t xml:space="preserve">UBS, Zürich, Switzerland</w:t>
      </w:r>
      <w:r>
        <w:rPr>
          <w:rFonts w:ascii="Calibri" w:cs="Calibri" w:eastAsia="Calibri" w:hAnsi="Calibri"/>
          <w:i/>
          <w:iCs/>
          <w:color w:val="555555"/>
          <w:sz w:val="22"/>
          <w:szCs w:val="22"/>
        </w:rPr>
        <w:t xml:space="preserve">	Mar 2014 – Oct 2016</w:t>
      </w:r>
    </w:p>
    <w:p>
      <w:pPr>
        <w:spacing w:after="20" w:before="20"/>
        <w:ind w:left="360" w:hanging="360"/>
      </w:pPr>
      <w:r>
        <w:rPr>
          <w:rFonts w:ascii="Calibri" w:cs="Calibri" w:eastAsia="Calibri" w:hAnsi="Calibri"/>
        </w:rPr>
        <w:t>•   GOM (Global Order Management) for HNW clients; CETUS project (CHF 100M assets). TOSCA automation; JIRA; HP ALM. Functional, regression, and integration testing.</w:t>
      </w:r>
    </w:p>
    <w:p>
      <w:pPr>
        <w:spacing w:after="60" w:before="120"/>
      </w:pPr>
      <w:r>
        <w:rPr>
          <w:rFonts w:ascii="Calibri" w:cs="Calibri" w:eastAsia="Calibri" w:hAnsi="Calibri"/>
          <w:b/>
          <w:bCs/>
          <w:color w:val="1B3A6B"/>
          <w:sz w:val="20"/>
          <w:szCs w:val="20"/>
        </w:rPr>
        <w:t xml:space="preserve">Earlier career (2003–2014): </w:t>
      </w:r>
      <w:r>
        <w:rPr>
          <w:rFonts w:ascii="Calibri" w:cs="Calibri" w:eastAsia="Calibri" w:hAnsi="Calibri"/>
          <w:sz w:val="20"/>
          <w:szCs w:val="20"/>
        </w:rPr>
        <w:t xml:space="preserve">Petruh Ltd (own consultancy) — clients incl. Fidelity Investments (SIPP product, 1,000+ funds), VW Group (210 UK dealerships intranet), Royal Bank of Scotland (world’s first Android/iOS banking app), Specsavers (26,000 staff). Capgemini — HMRC Corporate Tax.</w:t>
      </w:r>
    </w:p>
    <w:p>
      <w:pPr>
        <w:spacing w:after="60" w:before="220"/>
      </w:pPr>
      <w:r>
        <w:rPr>
          <w:rFonts w:ascii="Calibri" w:cs="Calibri" w:eastAsia="Calibri" w:hAnsi="Calibri"/>
          <w:b/>
          <w:bCs/>
          <w:color w:val="1B3A6B"/>
          <w:sz w:val="22"/>
          <w:szCs w:val="22"/>
        </w:rPr>
        <w:t xml:space="preserve">EDUCATION &amp; CERTIFICATIONS</w:t>
      </w:r>
    </w:p>
    <w:p>
      <w:pPr>
        <w:pBdr>
          <w:bottom w:val="single" w:color="2E5FA3" w:sz="8" w:space="1"/>
        </w:pBdr>
        <w:spacing w:after="100"/>
      </w:pPr>
    </w:p>
    <w:p>
      <w:pPr>
        <w:spacing w:after="60"/>
      </w:pPr>
      <w:r>
        <w:rPr>
          <w:rFonts w:ascii="Calibri" w:cs="Calibri" w:eastAsia="Calibri" w:hAnsi="Calibri"/>
        </w:rPr>
        <w:t xml:space="preserve">MSc Computer Based Information Systems — University of Sunderland (1992–1993)</w:t>
      </w:r>
    </w:p>
    <w:p>
      <w:pPr>
        <w:spacing w:after="60"/>
      </w:pPr>
      <w:r>
        <w:rPr>
          <w:rFonts w:ascii="Calibri" w:cs="Calibri" w:eastAsia="Calibri" w:hAnsi="Calibri"/>
        </w:rPr>
        <w:t xml:space="preserve">BA (Hons) History with English — University of Chichester (1988–1991)</w:t>
      </w:r>
    </w:p>
    <w:p>
      <w:pPr>
        <w:spacing w:after="60"/>
      </w:pPr>
      <w:r>
        <w:rPr>
          <w:rFonts w:ascii="Calibri" w:cs="Calibri" w:eastAsia="Calibri" w:hAnsi="Calibri"/>
        </w:rPr>
        <w:t>Advanced Certificate in Software Testing (BCS/ISEB/ISTQB)  ·  Foundation Certificate in Software Testing (ISEB/ISTQB-CTFL)</w:t>
      </w:r>
    </w:p>
    <w:p>
      <w:pPr>
        <w:spacing w:after="60"/>
      </w:pPr>
      <w:r>
        <w:rPr>
          <w:rFonts w:ascii="Calibri" w:cs="Calibri" w:eastAsia="Calibri" w:hAnsi="Calibri"/>
        </w:rPr>
        <w:t>O’Reilly Requirements Engineering Course  ·  Avaloq Foundation Certificate (FOU)</w:t>
      </w:r>
    </w:p>
    <w:p>
      <w:pPr>
        <w:spacing w:after="60"/>
      </w:pPr>
      <w:r>
        <w:rPr>
          <w:rFonts w:ascii="Calibri" w:cs="Calibri" w:eastAsia="Calibri" w:hAnsi="Calibri"/>
        </w:rPr>
        <w:t xml:space="preserve">Languages: English (Native) · German (Limited Working — actively studying) · French (Limited Working)</w:t>
      </w:r>
    </w:p>
    <w:p>
      <w:pPr>
        <w:spacing w:after="60" w:before="220"/>
      </w:pPr>
      <w:r>
        <w:rPr>
          <w:rFonts w:ascii="Calibri" w:cs="Calibri" w:eastAsia="Calibri" w:hAnsi="Calibri"/>
          <w:b/>
          <w:bCs/>
          <w:color w:val="1B3A6B"/>
          <w:sz w:val="22"/>
          <w:szCs w:val="22"/>
        </w:rPr>
        <w:t xml:space="preserve">ADDITIONAL INFORMATION</w:t>
      </w:r>
    </w:p>
    <w:p>
      <w:pPr>
        <w:pBdr>
          <w:bottom w:val="single" w:color="2E5FA3" w:sz="8" w:space="1"/>
        </w:pBdr>
        <w:spacing w:after="100"/>
      </w:pPr>
    </w:p>
    <w:p>
      <w:pPr>
        <w:spacing w:after="20" w:before="20"/>
        <w:ind w:left="360" w:hanging="360"/>
      </w:pPr>
      <w:r>
        <w:rPr>
          <w:rFonts w:ascii="Calibri" w:cs="Calibri" w:eastAsia="Calibri" w:hAnsi="Calibri"/>
        </w:rPr>
        <w:t>•   DACH region: ~5 years resident in Augsburg, Germany; ~5.5 years previously in Switzerland (Zürich area) — strong familiarity with both markets, work cultures, and commuting patterns.</w:t>
      </w:r>
    </w:p>
    <w:p>
      <w:pPr>
        <w:spacing w:after="20" w:before="20"/>
        <w:ind w:left="360" w:hanging="360"/>
      </w:pPr>
      <w:r>
        <w:rPr>
          <w:rFonts w:ascii="Calibri" w:cs="Calibri" w:eastAsia="Calibri" w:hAnsi="Calibri"/>
        </w:rPr>
        <w:t>•   Swiss work history: holds Swiss health insurance number and pension record (AHV).</w:t>
      </w:r>
    </w:p>
    <w:p>
      <w:pPr>
        <w:spacing w:after="20" w:before="20"/>
        <w:ind w:left="360" w:hanging="360"/>
      </w:pPr>
      <w:r>
        <w:rPr>
          <w:rFonts w:ascii="Calibri" w:cs="Calibri" w:eastAsia="Calibri" w:hAnsi="Calibri"/>
        </w:rPr>
        <w:t>•   Volunteer pen pal for US inmates — regular correspondence developing empathy, interpersonal communication, and cross-cultural understanding.</w:t>
      </w:r>
    </w:p>
    <w:sectPr>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22222"/>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c8cb51d571fc2298bd9dd9d4895ffab06a4df3d0.jpe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2026-04-16T11:34:31.802Z</dcterms:created>
  <dcterms:modified xsi:type="dcterms:W3CDTF">2026-04-16T11:34:31.803Z</dcterms:modified>
</cp:coreProperties>
</file>

<file path=docProps/custom.xml><?xml version="1.0" encoding="utf-8"?>
<Properties xmlns="http://schemas.openxmlformats.org/officeDocument/2006/custom-properties" xmlns:vt="http://schemas.openxmlformats.org/officeDocument/2006/docPropsVTypes"/>
</file>